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3" w:rsidRDefault="000B3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20.–27. 6. 2021</w:t>
      </w:r>
    </w:p>
    <w:p w:rsidR="009B7F33" w:rsidRDefault="000B373E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12. neděle v liturgickém mezidobí, v pondělí Památka sv. Aloise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Gonzagy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ve středu Památka sv. Josefa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Cafassa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ve čtvrtek Slavnost NAROZENÍ SVATÉHO JANA KŘTITELE, příští neděle je 13. v liturgickém mezidobí. </w:t>
      </w:r>
    </w:p>
    <w:p w:rsidR="009B7F33" w:rsidRDefault="000B373E" w:rsidP="000B3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Děkujeme:</w:t>
      </w:r>
    </w:p>
    <w:p w:rsidR="009B7F33" w:rsidRDefault="000B37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chlapům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za středeční brigádu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při vyklízení kuchyňky; </w:t>
      </w:r>
    </w:p>
    <w:p w:rsidR="009B7F33" w:rsidRDefault="000B373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společenství </w:t>
      </w:r>
      <w:r>
        <w:rPr>
          <w:rFonts w:ascii="Times New Roman" w:eastAsia="Times New Roman" w:hAnsi="Times New Roman" w:cs="Times New Roman"/>
          <w:sz w:val="26"/>
          <w:szCs w:val="26"/>
        </w:rPr>
        <w:t>Beta za to, že kuchyňku v sobotu odvezlo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karmelitkám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Drast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7F33" w:rsidRDefault="000B373E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děkujeme mládeži a rodičům z výuky náboženství staršího školního věku za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vyplněný dotazník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prosíme všechny, kteří tak ještě neu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činili, o jeho vyplnění.  </w:t>
      </w:r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Dnes se koná nedělní sportovní oratoř pro děti a mládež </w:t>
      </w:r>
      <w:r>
        <w:rPr>
          <w:rFonts w:ascii="Times New Roman" w:eastAsia="Times New Roman" w:hAnsi="Times New Roman" w:cs="Times New Roman"/>
          <w:sz w:val="26"/>
          <w:szCs w:val="26"/>
        </w:rPr>
        <w:t>od 15 do 18 hodin na hřištích Salesiánského centra.</w:t>
      </w:r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73E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Poslední mše svatá pro děti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před prázdninami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tuto středu.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Svátost smíření dětí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bude před mší svatou od 16.00 a po 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táborák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farní zahradě. Zajištěno bude dříví, chléb a nápoje. S sebou si přineste buřty nebo něco jiného na opékání. </w:t>
      </w:r>
    </w:p>
    <w:p w:rsidR="009B7F33" w:rsidRDefault="000B373E" w:rsidP="000B373E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na mši svaté v 9.00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budeme </w:t>
      </w:r>
      <w:r w:rsidRPr="000B373E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děkovat a loučit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se se salesiány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Milanem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Mihulcem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Petrem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Košákem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salesiánkou Helenou 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řenkovou.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 mši bude příležitost setkat se s nimi na farní zahradě.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Ke společnému občerstvení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můžete přinést domácí sladké a slané chuťovky,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ale pozor, tak, abychom je mohli dát přímo na stoly ke konzumaci, kuchyňka už je mimo provoz. Nápoje budou zajiště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ny. Kdo byste chtěli přispět na společný dar farníků, můžete tak učinit do kasičky uprostřed kostela. Děkujeme. </w:t>
      </w:r>
      <w:bookmarkStart w:id="0" w:name="_GoBack"/>
      <w:bookmarkEnd w:id="0"/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bude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sbírka na salesián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ské bohoslovce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73E">
        <w:rPr>
          <w:rFonts w:ascii="Times New Roman" w:eastAsia="Times New Roman" w:hAnsi="Times New Roman" w:cs="Times New Roman"/>
          <w:sz w:val="26"/>
          <w:szCs w:val="26"/>
        </w:rPr>
        <w:t>Připomínáme možnost půjčování knih 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farní knihovny </w:t>
      </w:r>
      <w:hyperlink r:id="rId6">
        <w:r w:rsidRPr="000B373E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přes internet.</w:t>
        </w:r>
      </w:hyperlink>
      <w:r w:rsidRPr="000B37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73E">
        <w:rPr>
          <w:rFonts w:ascii="Times New Roman" w:eastAsia="Times New Roman" w:hAnsi="Times New Roman" w:cs="Times New Roman"/>
          <w:sz w:val="26"/>
          <w:szCs w:val="26"/>
        </w:rPr>
        <w:t>Můžete 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 vybrat zajímavou literaturu na prázdniny a dovolené. </w:t>
      </w:r>
    </w:p>
    <w:p w:rsidR="009B7F33" w:rsidRDefault="000B373E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Ze Salesiánského střediska Teplice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prosí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během dneška (dnes je poslední den hlasování)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 vaši podporu při hlasování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podporu jejich projektu. Více je v elektronických ohláškách na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webu: </w:t>
      </w:r>
      <w:r>
        <w:rPr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Jak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asi víte, v Teplicích stavíme nové salesiánské centrum, říkáme tomu Živý dům.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www.zivydumteplice.cz</w:t>
        </w:r>
      </w:hyperlink>
      <w:r>
        <w:rPr>
          <w:rFonts w:ascii="Times New Roman" w:eastAsia="Times New Roman" w:hAnsi="Times New Roman" w:cs="Times New Roman"/>
          <w:color w:val="222222"/>
        </w:rPr>
        <w:t>. Teď máme šanci získat nějaké</w:t>
      </w:r>
      <w:r>
        <w:rPr>
          <w:rFonts w:ascii="Times New Roman" w:eastAsia="Times New Roman" w:hAnsi="Times New Roman" w:cs="Times New Roman"/>
          <w:color w:val="222222"/>
        </w:rPr>
        <w:t xml:space="preserve"> finance ze soutěže Máme vybráno (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https://www.mamevybrano.cz/soutez-1-kolo</w:t>
        </w:r>
      </w:hyperlink>
      <w:r>
        <w:rPr>
          <w:rFonts w:ascii="Times New Roman" w:eastAsia="Times New Roman" w:hAnsi="Times New Roman" w:cs="Times New Roman"/>
          <w:color w:val="222222"/>
        </w:rPr>
        <w:t>). Moc by nám pomohla spolupráce vás dalších salesiánských míst. Bylo by možné rozšířit prosbu o hlasování i u vás ve farn</w:t>
      </w:r>
      <w:r>
        <w:rPr>
          <w:rFonts w:ascii="Times New Roman" w:eastAsia="Times New Roman" w:hAnsi="Times New Roman" w:cs="Times New Roman"/>
          <w:color w:val="222222"/>
        </w:rPr>
        <w:t xml:space="preserve">osti v Kobylisích? Nevím, jestli třeba posíláte elektronické ohlášky apod. Hlasovací formulář je tady: </w:t>
      </w:r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https://www.mamevybrano.cz/soutez-hlasovani-1-kolo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(číslo sbírky je 287). Moc díky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9B7F33" w:rsidRDefault="000B373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Dětem, rodičům a učitelům vyprošujeme hodně sil ke zvládnutí závěru roku a všem zvládnutí dnešního a zítřejšího vedra. Přejeme požehnané dny.</w:t>
      </w:r>
    </w:p>
    <w:p w:rsidR="009B7F33" w:rsidRDefault="009B7F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B7F33" w:rsidRDefault="009B7F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B7F33" w:rsidRDefault="009B7F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B7F33" w:rsidRDefault="009B7F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F33" w:rsidRDefault="009B7F33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B7F33" w:rsidRDefault="009B7F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7F33" w:rsidRDefault="009B7F3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B7F33" w:rsidRDefault="009B7F3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B7F33" w:rsidRDefault="000B373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311CBCD3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>
        <w:br w:type="page"/>
      </w:r>
    </w:p>
    <w:p w:rsidR="009B7F33" w:rsidRDefault="000B373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20.–27. 6. 2021</w:t>
      </w:r>
    </w:p>
    <w:tbl>
      <w:tblPr>
        <w:tblStyle w:val="affa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9B7F33">
        <w:trPr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20. 6.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neděle v mezidobí</w:t>
            </w:r>
          </w:p>
        </w:tc>
      </w:tr>
      <w:tr w:rsidR="009B7F33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9B7F33" w:rsidRDefault="009B7F3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B7F33" w:rsidRDefault="009B7F3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B7F33" w:rsidRDefault="009B7F3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tatínka a oba rody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Vitolda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Ašuraka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který zemřel v běloruském vězení, 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Taraikovského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Vikhora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Artyoma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Parukou, Konstantina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Šišmakova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Hienadz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Šutau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Ramana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Bandarenku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zavražděné běloruským režimem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Ježíši za 50 let společného života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manželů Andělových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B7F33" w:rsidRDefault="009B7F3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7F33">
        <w:trPr>
          <w:trHeight w:val="186"/>
          <w:jc w:val="center"/>
        </w:trPr>
        <w:tc>
          <w:tcPr>
            <w:tcW w:w="975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21. 6.</w:t>
            </w:r>
          </w:p>
        </w:tc>
        <w:tc>
          <w:tcPr>
            <w:tcW w:w="1485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E6B8A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Aloise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Gonzagy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řeholníka</w:t>
            </w: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z obou stran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Křivoňakových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Mačkičových</w:t>
            </w:r>
            <w:proofErr w:type="spellEnd"/>
          </w:p>
        </w:tc>
      </w:tr>
      <w:tr w:rsidR="009B7F33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9B7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vnoučata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9B7F33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sv. Josefa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Cafassa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, kněze</w:t>
            </w: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Přírodní školu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zdárný průběh operace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společná léta</w:t>
            </w:r>
          </w:p>
        </w:tc>
      </w:tr>
      <w:tr w:rsidR="009B7F33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24. 6.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NAROZENÍ SVATÉHO JANA KŘTITELE</w:t>
            </w: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milost uzdravení pro dceru Emu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 všech přátel a rodiny</w:t>
            </w:r>
          </w:p>
        </w:tc>
      </w:tr>
      <w:tr w:rsidR="009B7F33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9B7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7F33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věčný život pro zemřelé rodiče a prarodiče z obou stran a celé rody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manžela a zemřelou rodinu Pechovu</w:t>
            </w:r>
          </w:p>
        </w:tc>
      </w:tr>
      <w:tr w:rsidR="009B7F33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26. 6.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9B7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celou živou a zemřelou rodinu</w:t>
            </w:r>
          </w:p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Přibylovičovy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Šolcovy</w:t>
            </w:r>
          </w:p>
        </w:tc>
      </w:tr>
      <w:tr w:rsidR="009B7F33">
        <w:trPr>
          <w:trHeight w:val="291"/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27. 6.</w:t>
            </w:r>
          </w:p>
        </w:tc>
        <w:tc>
          <w:tcPr>
            <w:tcW w:w="14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neděle v mezidobí</w:t>
            </w:r>
          </w:p>
        </w:tc>
      </w:tr>
      <w:tr w:rsidR="009B7F33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9B7F33" w:rsidRDefault="000B373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Dundra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jeho rodiče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záchranu manželství</w:t>
            </w:r>
          </w:p>
          <w:p w:rsidR="009B7F33" w:rsidRDefault="000B373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Bohdaneckých</w:t>
            </w:r>
            <w:proofErr w:type="spellEnd"/>
          </w:p>
          <w:p w:rsidR="009B7F33" w:rsidRDefault="009B7F3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7F33" w:rsidRDefault="009B7F3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7F33" w:rsidRDefault="009B7F3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7F33" w:rsidRDefault="009B7F33">
      <w:pPr>
        <w:spacing w:before="240"/>
      </w:pPr>
    </w:p>
    <w:sectPr w:rsidR="009B7F33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E02"/>
    <w:multiLevelType w:val="multilevel"/>
    <w:tmpl w:val="B0566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33"/>
    <w:rsid w:val="000B373E"/>
    <w:rsid w:val="009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2248"/>
  <w15:docId w15:val="{E4AA3379-E9AB-4CA3-9885-3F384B3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evybrano.cz/soutez-1-kolo" TargetMode="External"/><Relationship Id="rId13" Type="http://schemas.openxmlformats.org/officeDocument/2006/relationships/hyperlink" Target="http://www.apha.cz/file/122761/zpravodajpa-20-1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vydumteplice.cz/" TargetMode="External"/><Relationship Id="rId12" Type="http://schemas.openxmlformats.org/officeDocument/2006/relationships/hyperlink" Target="https://cms.1webit.cz/cms/files/strediskokobylisy.cz/2481/FIN-FIN-Zpravodaj-Stredisko-mladeze-A5-cerven-2021-jednostran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rezicka.cz/wp-content/uploads/2021/06/21-06_1_misijni_kaleidoskop_cz_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knihovna/" TargetMode="External"/><Relationship Id="rId11" Type="http://schemas.openxmlformats.org/officeDocument/2006/relationships/hyperlink" Target="https://cms.1webit.cz/cms/files/strediskokobylisy.cz/2481/FIN-FIN-Zpravodaj-Stredisko-mladeze-A5-cerven-2021-jednostran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dba.org/wp-content/uploads/2021/05/2021.06-Cg11_cz.pdf" TargetMode="External"/><Relationship Id="rId10" Type="http://schemas.openxmlformats.org/officeDocument/2006/relationships/hyperlink" Target="https://terezicka.cz/download/11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mevybrano.cz/soutez-hlasovani-1-kolo" TargetMode="External"/><Relationship Id="rId14" Type="http://schemas.openxmlformats.org/officeDocument/2006/relationships/hyperlink" Target="https://www.apha.cz/wp-content/uploads/2021/06/zpravodajpa-21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wVGXDn4HUQu1CIuDtf/eziBFg==">AMUW2mVfrpdK7LxoKgCbQvuNdfAp1zwxi4EKWk9RuvE5jspt5+O4LltFIDZcN7IFIhD6WM4mkXfuiKYhrv57vvDqlz9anyyeTqwVDQKYaaS4JdIndY94+4k=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2021-06-19T15:26:00Z</dcterms:modified>
</cp:coreProperties>
</file>